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2BB" w:rsidRDefault="004622BB" w:rsidP="002C4F79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32"/>
          <w:shd w:val="clear" w:color="auto" w:fill="FFFFFF"/>
        </w:rPr>
      </w:pPr>
      <w:bookmarkStart w:id="0" w:name="_GoBack"/>
      <w:bookmarkEnd w:id="0"/>
    </w:p>
    <w:p w:rsidR="00A765C7" w:rsidRPr="004622BB" w:rsidRDefault="004622BB" w:rsidP="002C4F79">
      <w:pPr>
        <w:pStyle w:val="Normal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32"/>
          <w:shd w:val="clear" w:color="auto" w:fill="FFFFFF"/>
        </w:rPr>
      </w:pPr>
      <w:r w:rsidRPr="004622BB">
        <w:rPr>
          <w:rFonts w:asciiTheme="minorHAnsi" w:hAnsiTheme="minorHAnsi"/>
          <w:b/>
          <w:sz w:val="28"/>
          <w:szCs w:val="32"/>
          <w:shd w:val="clear" w:color="auto" w:fill="FFFFFF"/>
        </w:rPr>
        <w:t>BIENALSUR presenta el Museo de Arte digital a Cielo Abierto</w:t>
      </w:r>
    </w:p>
    <w:p w:rsidR="00A765C7" w:rsidRDefault="00A765C7" w:rsidP="002C4F79">
      <w:pPr>
        <w:jc w:val="both"/>
        <w:rPr>
          <w:rFonts w:asciiTheme="minorHAnsi" w:hAnsiTheme="minorHAnsi" w:cs="Tahoma"/>
          <w:b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Más de 400 pantallas publicitarias distribuidas por las calles de diversas ciudades de Latinoamérica exhibirán a partir del 22 de abril, y de manera permanente, las obras de videoarte de artistas que participarán en la segunda edición de BIENALSUR 2019, convirtiendo la iniciativa en “el museo de arte digital a cielo abierto más grande del mundo”.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Con esta propuesta novedosa que irrumpe en el espacio público para ofrecer al transeúnte obras gratuitas que se proyectarán las 24 horas, la bienal acorta las distancias conectando a artistas y espectadores de toda la región a través del arte digital.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El proyecto es el resultado de una alianza entre la dirección general y artística de BIENALSUR, la Asociación Latinoamericana de </w:t>
      </w:r>
      <w:proofErr w:type="spellStart"/>
      <w:r w:rsidRPr="004622BB">
        <w:rPr>
          <w:rFonts w:asciiTheme="minorHAnsi" w:hAnsiTheme="minorHAnsi" w:cs="Tahoma"/>
          <w:color w:val="auto"/>
        </w:rPr>
        <w:t>Out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of Home ALOOH y la Federación Internacional de Publicidad Exterior FEPE, que se dio a conocer en el marco del foro que se realizó en noviembre pasado en Colombia para agrupar a representantes de la comunicación y la publicidad.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En cada rincón de Latinoamérica, en las mencionadas pantallas publicitarias, se proyectarán piezas de videoarte de los más diversos estilos y temáticas, resultado de la convocatoria lanzada por BIENALSUR, presentada bajo el lema “Imágenes para un mundo mejor”.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De este modo, proyectos de artistas provenientes de Turquía, Japón, Chile, México, Italia, Colombia, Grecia, Brasil, Argentina, Francia y Perú, se verán en numerosas pantallas de Rosario, Asunción, Trujillo, El Salvador, Ciudad de México, Viña del Mar, Antofagasta, Quito, Cali, Córdoba y Mendoza, entre otras.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BIENALSUR, el evento cultural más destacado de Argentina para el mundo, reunirá de junio a noviembre de 2019 las obras de más de 400 artistas en 21 países, desplegados en 112 sedes de 43 ciudades.</w:t>
      </w:r>
    </w:p>
    <w:p w:rsidR="002C4F79" w:rsidRDefault="002C4F79" w:rsidP="002C4F79">
      <w:pPr>
        <w:jc w:val="both"/>
        <w:rPr>
          <w:rFonts w:asciiTheme="minorHAnsi" w:hAnsiTheme="minorHAnsi" w:cs="Tahoma"/>
          <w:b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b/>
          <w:color w:val="auto"/>
        </w:rPr>
      </w:pPr>
      <w:r w:rsidRPr="004622BB">
        <w:rPr>
          <w:rFonts w:asciiTheme="minorHAnsi" w:hAnsiTheme="minorHAnsi" w:cs="Tahoma"/>
          <w:b/>
          <w:color w:val="auto"/>
        </w:rPr>
        <w:t>Artistas: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b/>
          <w:color w:val="auto"/>
        </w:rPr>
      </w:pP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proofErr w:type="spellStart"/>
      <w:r w:rsidRPr="004622BB">
        <w:rPr>
          <w:rFonts w:asciiTheme="minorHAnsi" w:hAnsiTheme="minorHAnsi" w:cs="Tahoma"/>
          <w:color w:val="auto"/>
        </w:rPr>
        <w:t>Benna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</w:t>
      </w:r>
      <w:proofErr w:type="spellStart"/>
      <w:r w:rsidRPr="004622BB">
        <w:rPr>
          <w:rFonts w:asciiTheme="minorHAnsi" w:hAnsiTheme="minorHAnsi" w:cs="Tahoma"/>
          <w:color w:val="auto"/>
        </w:rPr>
        <w:t>Gaean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Maris (Italia)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proofErr w:type="spellStart"/>
      <w:r w:rsidRPr="004622BB">
        <w:rPr>
          <w:rFonts w:asciiTheme="minorHAnsi" w:hAnsiTheme="minorHAnsi" w:cs="Tahoma"/>
          <w:color w:val="auto"/>
        </w:rPr>
        <w:t>Mikio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</w:t>
      </w:r>
      <w:proofErr w:type="spellStart"/>
      <w:r w:rsidRPr="004622BB">
        <w:rPr>
          <w:rFonts w:asciiTheme="minorHAnsi" w:hAnsiTheme="minorHAnsi" w:cs="Tahoma"/>
          <w:color w:val="auto"/>
        </w:rPr>
        <w:t>Saito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(Japón)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proofErr w:type="spellStart"/>
      <w:r w:rsidRPr="004622BB">
        <w:rPr>
          <w:rFonts w:asciiTheme="minorHAnsi" w:hAnsiTheme="minorHAnsi" w:cs="Tahoma"/>
          <w:color w:val="auto"/>
        </w:rPr>
        <w:t>Khalil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</w:t>
      </w:r>
      <w:proofErr w:type="spellStart"/>
      <w:r w:rsidRPr="004622BB">
        <w:rPr>
          <w:rFonts w:asciiTheme="minorHAnsi" w:hAnsiTheme="minorHAnsi" w:cs="Tahoma"/>
          <w:color w:val="auto"/>
        </w:rPr>
        <w:t>Charif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(Brasil)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Marianne </w:t>
      </w:r>
      <w:proofErr w:type="spellStart"/>
      <w:r w:rsidRPr="004622BB">
        <w:rPr>
          <w:rFonts w:asciiTheme="minorHAnsi" w:hAnsiTheme="minorHAnsi" w:cs="Tahoma"/>
          <w:color w:val="auto"/>
        </w:rPr>
        <w:t>Majluf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(Perú)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Isabel </w:t>
      </w:r>
      <w:proofErr w:type="spellStart"/>
      <w:r w:rsidRPr="004622BB">
        <w:rPr>
          <w:rFonts w:asciiTheme="minorHAnsi" w:hAnsiTheme="minorHAnsi" w:cs="Tahoma"/>
          <w:color w:val="auto"/>
        </w:rPr>
        <w:t>Pe</w:t>
      </w:r>
      <w:r w:rsidRPr="004622BB">
        <w:rPr>
          <w:rFonts w:asciiTheme="minorHAnsi" w:hAnsiTheme="minorHAnsi" w:cs="Tahoma"/>
          <w:color w:val="auto"/>
        </w:rPr>
        <w:t>rez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Del Pulgar (España/Francia)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Ga</w:t>
      </w:r>
      <w:r w:rsidRPr="004622BB">
        <w:rPr>
          <w:rFonts w:asciiTheme="minorHAnsi" w:hAnsiTheme="minorHAnsi" w:cs="Tahoma"/>
          <w:color w:val="auto"/>
        </w:rPr>
        <w:t xml:space="preserve">briel </w:t>
      </w:r>
      <w:proofErr w:type="spellStart"/>
      <w:r w:rsidRPr="004622BB">
        <w:rPr>
          <w:rFonts w:asciiTheme="minorHAnsi" w:hAnsiTheme="minorHAnsi" w:cs="Tahoma"/>
          <w:color w:val="auto"/>
        </w:rPr>
        <w:t>Sasiambarrena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(Argentina)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proofErr w:type="spellStart"/>
      <w:r w:rsidRPr="004622BB">
        <w:rPr>
          <w:rFonts w:asciiTheme="minorHAnsi" w:hAnsiTheme="minorHAnsi" w:cs="Tahoma"/>
          <w:color w:val="auto"/>
        </w:rPr>
        <w:lastRenderedPageBreak/>
        <w:t>Flávio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</w:t>
      </w:r>
      <w:proofErr w:type="spellStart"/>
      <w:r w:rsidRPr="004622BB">
        <w:rPr>
          <w:rFonts w:asciiTheme="minorHAnsi" w:hAnsiTheme="minorHAnsi" w:cs="Tahoma"/>
          <w:color w:val="auto"/>
        </w:rPr>
        <w:t>Cro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(Brasil)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proofErr w:type="spellStart"/>
      <w:r w:rsidRPr="004622BB">
        <w:rPr>
          <w:rFonts w:asciiTheme="minorHAnsi" w:hAnsiTheme="minorHAnsi" w:cs="Tahoma"/>
          <w:color w:val="auto"/>
        </w:rPr>
        <w:t>Alican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</w:t>
      </w:r>
      <w:proofErr w:type="spellStart"/>
      <w:r w:rsidRPr="004622BB">
        <w:rPr>
          <w:rFonts w:asciiTheme="minorHAnsi" w:hAnsiTheme="minorHAnsi" w:cs="Tahoma"/>
          <w:color w:val="auto"/>
        </w:rPr>
        <w:t>Durbaş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(Turquía)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Adriana </w:t>
      </w:r>
      <w:proofErr w:type="spellStart"/>
      <w:r w:rsidRPr="004622BB">
        <w:rPr>
          <w:rFonts w:asciiTheme="minorHAnsi" w:hAnsiTheme="minorHAnsi" w:cs="Tahoma"/>
          <w:color w:val="auto"/>
        </w:rPr>
        <w:t>Spasiano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(Argentina)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Federico Lucas </w:t>
      </w:r>
      <w:proofErr w:type="spellStart"/>
      <w:r w:rsidRPr="004622BB">
        <w:rPr>
          <w:rFonts w:asciiTheme="minorHAnsi" w:hAnsiTheme="minorHAnsi" w:cs="Tahoma"/>
          <w:color w:val="auto"/>
        </w:rPr>
        <w:t>Kohn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(Argentina)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Patricia Londoño (Colombia) 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proofErr w:type="spellStart"/>
      <w:r w:rsidRPr="004622BB">
        <w:rPr>
          <w:rFonts w:asciiTheme="minorHAnsi" w:hAnsiTheme="minorHAnsi" w:cs="Tahoma"/>
          <w:color w:val="auto"/>
        </w:rPr>
        <w:t>Jasmin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</w:t>
      </w:r>
      <w:proofErr w:type="spellStart"/>
      <w:r w:rsidRPr="004622BB">
        <w:rPr>
          <w:rFonts w:asciiTheme="minorHAnsi" w:hAnsiTheme="minorHAnsi" w:cs="Tahoma"/>
          <w:color w:val="auto"/>
        </w:rPr>
        <w:t>Rapti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(Grecia)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Leo</w:t>
      </w:r>
      <w:r w:rsidRPr="004622BB">
        <w:rPr>
          <w:rFonts w:asciiTheme="minorHAnsi" w:hAnsiTheme="minorHAnsi" w:cs="Tahoma"/>
          <w:color w:val="auto"/>
        </w:rPr>
        <w:t xml:space="preserve">nardo Martín </w:t>
      </w:r>
      <w:proofErr w:type="spellStart"/>
      <w:r w:rsidRPr="004622BB">
        <w:rPr>
          <w:rFonts w:asciiTheme="minorHAnsi" w:hAnsiTheme="minorHAnsi" w:cs="Tahoma"/>
          <w:color w:val="auto"/>
        </w:rPr>
        <w:t>Blanc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(Argentina) 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Carolina Barros (Chile)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Alejandro Ramírez (Colombia)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Frank </w:t>
      </w:r>
      <w:proofErr w:type="spellStart"/>
      <w:r w:rsidRPr="004622BB">
        <w:rPr>
          <w:rFonts w:asciiTheme="minorHAnsi" w:hAnsiTheme="minorHAnsi" w:cs="Tahoma"/>
          <w:color w:val="auto"/>
        </w:rPr>
        <w:t>Lahera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</w:t>
      </w:r>
      <w:proofErr w:type="spellStart"/>
      <w:r w:rsidRPr="004622BB">
        <w:rPr>
          <w:rFonts w:asciiTheme="minorHAnsi" w:hAnsiTheme="minorHAnsi" w:cs="Tahoma"/>
          <w:color w:val="auto"/>
        </w:rPr>
        <w:t>O’Callaghan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(Cuba)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Edith </w:t>
      </w:r>
      <w:proofErr w:type="spellStart"/>
      <w:r w:rsidRPr="004622BB">
        <w:rPr>
          <w:rFonts w:asciiTheme="minorHAnsi" w:hAnsiTheme="minorHAnsi" w:cs="Tahoma"/>
          <w:color w:val="auto"/>
        </w:rPr>
        <w:t>Coka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(Colombia) 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Julio Urbina Rey (Perú)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>Christian Becerra (México)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proofErr w:type="spellStart"/>
      <w:r w:rsidRPr="004622BB">
        <w:rPr>
          <w:rFonts w:asciiTheme="minorHAnsi" w:hAnsiTheme="minorHAnsi" w:cs="Tahoma"/>
          <w:color w:val="auto"/>
        </w:rPr>
        <w:t>Ma</w:t>
      </w:r>
      <w:r w:rsidRPr="004622BB">
        <w:rPr>
          <w:rFonts w:asciiTheme="minorHAnsi" w:hAnsiTheme="minorHAnsi" w:cs="Tahoma"/>
          <w:color w:val="auto"/>
        </w:rPr>
        <w:t>riella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Sola (Argentina/Francia)</w:t>
      </w:r>
    </w:p>
    <w:p w:rsidR="003D654E" w:rsidRPr="004622BB" w:rsidRDefault="004622BB" w:rsidP="002C4F79">
      <w:pPr>
        <w:jc w:val="both"/>
        <w:rPr>
          <w:rFonts w:asciiTheme="minorHAnsi" w:hAnsiTheme="minorHAnsi" w:cs="Tahoma"/>
          <w:color w:val="auto"/>
        </w:rPr>
      </w:pPr>
      <w:r w:rsidRPr="004622BB">
        <w:rPr>
          <w:rFonts w:asciiTheme="minorHAnsi" w:hAnsiTheme="minorHAnsi" w:cs="Tahoma"/>
          <w:color w:val="auto"/>
        </w:rPr>
        <w:t xml:space="preserve">Ignacio </w:t>
      </w:r>
      <w:proofErr w:type="spellStart"/>
      <w:r w:rsidRPr="004622BB">
        <w:rPr>
          <w:rFonts w:asciiTheme="minorHAnsi" w:hAnsiTheme="minorHAnsi" w:cs="Tahoma"/>
          <w:color w:val="auto"/>
        </w:rPr>
        <w:t>Liang</w:t>
      </w:r>
      <w:proofErr w:type="spellEnd"/>
      <w:r w:rsidRPr="004622BB">
        <w:rPr>
          <w:rFonts w:asciiTheme="minorHAnsi" w:hAnsiTheme="minorHAnsi" w:cs="Tahoma"/>
          <w:color w:val="auto"/>
        </w:rPr>
        <w:t xml:space="preserve"> (Argentina)</w:t>
      </w:r>
    </w:p>
    <w:p w:rsidR="004622BB" w:rsidRPr="004622BB" w:rsidRDefault="004622BB" w:rsidP="002C4F79">
      <w:pPr>
        <w:jc w:val="both"/>
        <w:rPr>
          <w:rFonts w:asciiTheme="minorHAnsi" w:hAnsiTheme="minorHAnsi" w:cs="Tahoma"/>
          <w:b/>
          <w:color w:val="auto"/>
        </w:rPr>
      </w:pPr>
    </w:p>
    <w:p w:rsidR="00306F11" w:rsidRPr="00F6211B" w:rsidRDefault="00294089" w:rsidP="002C4F79">
      <w:pPr>
        <w:jc w:val="both"/>
        <w:rPr>
          <w:rFonts w:ascii="Calibri" w:hAnsi="Calibri" w:cs="Tahoma"/>
          <w:b/>
          <w:color w:val="auto"/>
        </w:rPr>
      </w:pPr>
      <w:r w:rsidRPr="00F6211B">
        <w:rPr>
          <w:rFonts w:ascii="Calibri" w:hAnsi="Calibri" w:cs="Tahoma"/>
          <w:b/>
          <w:color w:val="auto"/>
        </w:rPr>
        <w:t>Contacto de prensa</w:t>
      </w:r>
    </w:p>
    <w:p w:rsidR="00F6211B" w:rsidRPr="00F6211B" w:rsidRDefault="00F6211B" w:rsidP="002C4F79">
      <w:pPr>
        <w:pStyle w:val="Ttulo2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b w:val="0"/>
          <w:bCs w:val="0"/>
          <w:sz w:val="24"/>
          <w:szCs w:val="24"/>
        </w:rPr>
      </w:pPr>
      <w:proofErr w:type="spellStart"/>
      <w:r w:rsidRPr="00F6211B">
        <w:rPr>
          <w:rFonts w:ascii="Calibri" w:hAnsi="Calibri" w:cs="Arial"/>
          <w:b w:val="0"/>
          <w:bCs w:val="0"/>
          <w:sz w:val="24"/>
          <w:szCs w:val="24"/>
        </w:rPr>
        <w:t>Claribel</w:t>
      </w:r>
      <w:proofErr w:type="spellEnd"/>
      <w:r w:rsidRPr="00F6211B">
        <w:rPr>
          <w:rFonts w:ascii="Calibri" w:hAnsi="Calibri" w:cs="Arial"/>
          <w:b w:val="0"/>
          <w:bCs w:val="0"/>
          <w:sz w:val="24"/>
          <w:szCs w:val="24"/>
        </w:rPr>
        <w:t xml:space="preserve"> Terre</w:t>
      </w:r>
    </w:p>
    <w:p w:rsidR="00294089" w:rsidRPr="00F6211B" w:rsidRDefault="000D69BC" w:rsidP="002C4F79">
      <w:pPr>
        <w:jc w:val="both"/>
        <w:rPr>
          <w:rFonts w:ascii="Calibri" w:hAnsi="Calibri"/>
          <w:color w:val="auto"/>
        </w:rPr>
      </w:pPr>
      <w:hyperlink r:id="rId9" w:tgtFrame="_blank" w:tooltip="Contacto: Claribel Terre" w:history="1">
        <w:r w:rsidR="00F6211B" w:rsidRPr="00F6211B">
          <w:rPr>
            <w:rStyle w:val="Hipervnculo"/>
            <w:rFonts w:ascii="Calibri" w:hAnsi="Calibri" w:cs="Arial"/>
            <w:color w:val="auto"/>
            <w:shd w:val="clear" w:color="auto" w:fill="FFFFFF"/>
          </w:rPr>
          <w:t>claribelterre@bienalsur.org</w:t>
        </w:r>
      </w:hyperlink>
    </w:p>
    <w:p w:rsidR="003D654E" w:rsidRDefault="003D654E" w:rsidP="002C4F79">
      <w:pPr>
        <w:jc w:val="both"/>
        <w:rPr>
          <w:rFonts w:ascii="Calibri" w:hAnsi="Calibri" w:cs="Tahoma"/>
          <w:b/>
          <w:bCs/>
          <w:color w:val="auto"/>
        </w:rPr>
      </w:pPr>
    </w:p>
    <w:p w:rsidR="004622BB" w:rsidRDefault="004622BB" w:rsidP="002C4F79">
      <w:pPr>
        <w:jc w:val="both"/>
        <w:rPr>
          <w:rFonts w:ascii="Calibri" w:hAnsi="Calibri" w:cs="Tahoma"/>
          <w:b/>
          <w:bCs/>
          <w:color w:val="auto"/>
        </w:rPr>
      </w:pPr>
      <w:r>
        <w:rPr>
          <w:rFonts w:ascii="Calibri" w:hAnsi="Calibri" w:cs="Tahoma"/>
          <w:b/>
          <w:bCs/>
          <w:color w:val="auto"/>
        </w:rPr>
        <w:t xml:space="preserve">Acceso a Prensa: </w:t>
      </w:r>
      <w:hyperlink r:id="rId10" w:history="1">
        <w:r w:rsidR="002C4F79" w:rsidRPr="00A35C70">
          <w:rPr>
            <w:rStyle w:val="Hipervnculo"/>
            <w:rFonts w:ascii="Calibri" w:hAnsi="Calibri" w:cs="Tahoma"/>
            <w:bCs/>
          </w:rPr>
          <w:t>https://bienalsur.org/es/prensa</w:t>
        </w:r>
      </w:hyperlink>
    </w:p>
    <w:p w:rsidR="002C4F79" w:rsidRPr="00F6211B" w:rsidRDefault="002C4F79" w:rsidP="002C4F79">
      <w:pPr>
        <w:jc w:val="both"/>
        <w:rPr>
          <w:rFonts w:ascii="Calibri" w:hAnsi="Calibri" w:cs="Tahoma"/>
          <w:b/>
          <w:bCs/>
          <w:color w:val="auto"/>
        </w:rPr>
      </w:pPr>
    </w:p>
    <w:sectPr w:rsidR="002C4F79" w:rsidRPr="00F6211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9BC" w:rsidRDefault="000D69BC" w:rsidP="00306F11">
      <w:r>
        <w:separator/>
      </w:r>
    </w:p>
  </w:endnote>
  <w:endnote w:type="continuationSeparator" w:id="0">
    <w:p w:rsidR="000D69BC" w:rsidRDefault="000D69BC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F11" w:rsidRDefault="00306F11">
    <w:pPr>
      <w:pStyle w:val="Piedepgina"/>
    </w:pPr>
  </w:p>
  <w:p w:rsidR="00306F11" w:rsidRDefault="00532537">
    <w:pPr>
      <w:pStyle w:val="Piedepgina"/>
    </w:pPr>
    <w:r>
      <w:rPr>
        <w:noProof/>
        <w:lang w:val="pt-BR" w:eastAsia="pt-BR"/>
      </w:rPr>
      <w:drawing>
        <wp:anchor distT="0" distB="0" distL="114300" distR="114300" simplePos="0" relativeHeight="251665408" behindDoc="1" locked="0" layoutInCell="1" allowOverlap="1" wp14:anchorId="464E7C6C" wp14:editId="4C080EA1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9BC" w:rsidRDefault="000D69BC" w:rsidP="00306F11">
      <w:r>
        <w:separator/>
      </w:r>
    </w:p>
  </w:footnote>
  <w:footnote w:type="continuationSeparator" w:id="0">
    <w:p w:rsidR="000D69BC" w:rsidRDefault="000D69BC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F11" w:rsidRDefault="00433DA7">
    <w:pPr>
      <w:pStyle w:val="Encabezado"/>
    </w:pPr>
    <w:r>
      <w:rPr>
        <w:noProof/>
        <w:lang w:val="pt-BR" w:eastAsia="pt-BR"/>
      </w:rPr>
      <w:drawing>
        <wp:anchor distT="0" distB="0" distL="114300" distR="114300" simplePos="0" relativeHeight="251667456" behindDoc="1" locked="0" layoutInCell="1" allowOverlap="1" wp14:anchorId="7BBEE5D0" wp14:editId="658368D4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0B35">
      <w:rPr>
        <w:noProof/>
        <w:lang w:val="pt-BR" w:eastAsia="pt-BR"/>
      </w:rPr>
      <w:drawing>
        <wp:anchor distT="0" distB="0" distL="114300" distR="114300" simplePos="0" relativeHeight="251663360" behindDoc="1" locked="0" layoutInCell="1" allowOverlap="1" wp14:anchorId="701ED3DB" wp14:editId="69B2644E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06F11" w:rsidRDefault="00306F11">
    <w:pPr>
      <w:pStyle w:val="Encabezado"/>
    </w:pPr>
  </w:p>
  <w:p w:rsidR="00433DA7" w:rsidRDefault="00433DA7">
    <w:pPr>
      <w:pStyle w:val="Encabezado"/>
    </w:pPr>
  </w:p>
  <w:p w:rsidR="00433DA7" w:rsidRDefault="00433DA7">
    <w:pPr>
      <w:pStyle w:val="Encabezado"/>
    </w:pPr>
  </w:p>
  <w:p w:rsidR="00433DA7" w:rsidRDefault="00433DA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A2D"/>
    <w:multiLevelType w:val="hybridMultilevel"/>
    <w:tmpl w:val="578ACD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2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D69BC"/>
    <w:rsid w:val="000E176A"/>
    <w:rsid w:val="0017271D"/>
    <w:rsid w:val="00205AC0"/>
    <w:rsid w:val="00266AEE"/>
    <w:rsid w:val="00294089"/>
    <w:rsid w:val="002C4F79"/>
    <w:rsid w:val="00301FE2"/>
    <w:rsid w:val="00306F11"/>
    <w:rsid w:val="003468E3"/>
    <w:rsid w:val="003A4B8C"/>
    <w:rsid w:val="003D654E"/>
    <w:rsid w:val="00433DA7"/>
    <w:rsid w:val="004622BB"/>
    <w:rsid w:val="004D5F0B"/>
    <w:rsid w:val="00532537"/>
    <w:rsid w:val="00640924"/>
    <w:rsid w:val="006757C8"/>
    <w:rsid w:val="00697F7E"/>
    <w:rsid w:val="00707441"/>
    <w:rsid w:val="00913574"/>
    <w:rsid w:val="009C3BBE"/>
    <w:rsid w:val="00A40507"/>
    <w:rsid w:val="00A765C7"/>
    <w:rsid w:val="00B06FA8"/>
    <w:rsid w:val="00B15270"/>
    <w:rsid w:val="00BA57FB"/>
    <w:rsid w:val="00BE5248"/>
    <w:rsid w:val="00C17C14"/>
    <w:rsid w:val="00C52EE0"/>
    <w:rsid w:val="00C53E6B"/>
    <w:rsid w:val="00C909F8"/>
    <w:rsid w:val="00CB0584"/>
    <w:rsid w:val="00D26333"/>
    <w:rsid w:val="00D7076A"/>
    <w:rsid w:val="00DA0B35"/>
    <w:rsid w:val="00E20838"/>
    <w:rsid w:val="00F6211B"/>
    <w:rsid w:val="00F8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4622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Ttulo1Car">
    <w:name w:val="Título 1 Car"/>
    <w:basedOn w:val="Fuentedeprrafopredeter"/>
    <w:link w:val="Ttulo1"/>
    <w:uiPriority w:val="9"/>
    <w:rsid w:val="004622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4622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Ttulo1Car">
    <w:name w:val="Título 1 Car"/>
    <w:basedOn w:val="Fuentedeprrafopredeter"/>
    <w:link w:val="Ttulo1"/>
    <w:uiPriority w:val="9"/>
    <w:rsid w:val="004622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bienalsur.org/es/prens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laribelterre@bienalsur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F3D02-36F8-432F-BBA9-1A96FD7DE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Bienal8</cp:lastModifiedBy>
  <cp:revision>2</cp:revision>
  <cp:lastPrinted>2019-04-22T17:05:00Z</cp:lastPrinted>
  <dcterms:created xsi:type="dcterms:W3CDTF">2019-05-06T20:22:00Z</dcterms:created>
  <dcterms:modified xsi:type="dcterms:W3CDTF">2019-05-06T20:22:00Z</dcterms:modified>
</cp:coreProperties>
</file>